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DE8E2" w14:textId="0FD2DF44" w:rsidR="29AD8E21" w:rsidRPr="000A551C" w:rsidRDefault="000A551C" w:rsidP="000A551C">
      <w:pPr>
        <w:pStyle w:val="NormalWeb"/>
        <w:jc w:val="center"/>
        <w:rPr>
          <w:sz w:val="32"/>
          <w:lang w:val="es-MX"/>
        </w:rPr>
      </w:pPr>
      <w:r w:rsidRPr="000A551C">
        <w:rPr>
          <w:rStyle w:val="Strong"/>
          <w:sz w:val="32"/>
          <w:lang w:val="es-MX"/>
        </w:rPr>
        <w:t>LG TRANSFORMA EL FUTURO DE LAS SOLUCIONES</w:t>
      </w:r>
      <w:r>
        <w:rPr>
          <w:rStyle w:val="Strong"/>
          <w:sz w:val="32"/>
          <w:lang w:val="es-MX"/>
        </w:rPr>
        <w:t xml:space="preserve"> AUDIOVISUALES</w:t>
      </w:r>
      <w:r w:rsidRPr="000A551C">
        <w:rPr>
          <w:rStyle w:val="Strong"/>
          <w:sz w:val="32"/>
          <w:lang w:val="es-MX"/>
        </w:rPr>
        <w:t xml:space="preserve"> EN ISE 2025</w:t>
      </w:r>
    </w:p>
    <w:p w14:paraId="75338B83" w14:textId="77777777" w:rsidR="0002479F" w:rsidRPr="0002479F" w:rsidRDefault="4C9C434A" w:rsidP="0002479F">
      <w:pPr>
        <w:pStyle w:val="NormalWeb"/>
        <w:jc w:val="both"/>
        <w:rPr>
          <w:lang w:val="es-MX"/>
        </w:rPr>
      </w:pPr>
      <w:r w:rsidRPr="000A551C">
        <w:rPr>
          <w:b/>
          <w:bCs/>
          <w:lang w:val="es-MX"/>
        </w:rPr>
        <w:t>Ciudad de México, a 13 de febrero de 2025</w:t>
      </w:r>
      <w:r w:rsidRPr="000A551C">
        <w:rPr>
          <w:lang w:val="es-MX"/>
        </w:rPr>
        <w:t xml:space="preserve"> – </w:t>
      </w:r>
      <w:r w:rsidR="0002479F" w:rsidRPr="0002479F">
        <w:rPr>
          <w:lang w:val="es-MX"/>
        </w:rPr>
        <w:t xml:space="preserve">LG </w:t>
      </w:r>
      <w:proofErr w:type="spellStart"/>
      <w:r w:rsidR="0002479F" w:rsidRPr="0002479F">
        <w:rPr>
          <w:lang w:val="es-MX"/>
        </w:rPr>
        <w:t>Electronics</w:t>
      </w:r>
      <w:proofErr w:type="spellEnd"/>
      <w:r w:rsidR="0002479F" w:rsidRPr="0002479F">
        <w:rPr>
          <w:lang w:val="es-MX"/>
        </w:rPr>
        <w:t xml:space="preserve"> (LG) reafirmó su liderazgo en el sector B2B con la presentación de sus soluciones avanzadas de visualización en </w:t>
      </w:r>
      <w:proofErr w:type="spellStart"/>
      <w:r w:rsidR="0002479F" w:rsidRPr="0002479F">
        <w:rPr>
          <w:rStyle w:val="Strong"/>
          <w:b w:val="0"/>
          <w:lang w:val="es-MX"/>
        </w:rPr>
        <w:t>Integrated</w:t>
      </w:r>
      <w:proofErr w:type="spellEnd"/>
      <w:r w:rsidR="0002479F" w:rsidRPr="0002479F">
        <w:rPr>
          <w:rStyle w:val="Strong"/>
          <w:b w:val="0"/>
          <w:lang w:val="es-MX"/>
        </w:rPr>
        <w:t xml:space="preserve"> </w:t>
      </w:r>
      <w:proofErr w:type="spellStart"/>
      <w:r w:rsidR="0002479F" w:rsidRPr="0002479F">
        <w:rPr>
          <w:rStyle w:val="Strong"/>
          <w:b w:val="0"/>
          <w:lang w:val="es-MX"/>
        </w:rPr>
        <w:t>Systems</w:t>
      </w:r>
      <w:proofErr w:type="spellEnd"/>
      <w:r w:rsidR="0002479F" w:rsidRPr="0002479F">
        <w:rPr>
          <w:rStyle w:val="Strong"/>
          <w:b w:val="0"/>
          <w:lang w:val="es-MX"/>
        </w:rPr>
        <w:t xml:space="preserve"> </w:t>
      </w:r>
      <w:proofErr w:type="spellStart"/>
      <w:r w:rsidR="0002479F" w:rsidRPr="0002479F">
        <w:rPr>
          <w:rStyle w:val="Strong"/>
          <w:b w:val="0"/>
          <w:lang w:val="es-MX"/>
        </w:rPr>
        <w:t>Europe</w:t>
      </w:r>
      <w:proofErr w:type="spellEnd"/>
      <w:r w:rsidR="0002479F" w:rsidRPr="0002479F">
        <w:rPr>
          <w:rStyle w:val="Strong"/>
          <w:b w:val="0"/>
          <w:lang w:val="es-MX"/>
        </w:rPr>
        <w:t xml:space="preserve"> (ISE) 2025</w:t>
      </w:r>
      <w:r w:rsidR="0002479F" w:rsidRPr="0002479F">
        <w:rPr>
          <w:lang w:val="es-MX"/>
        </w:rPr>
        <w:t xml:space="preserve">, el evento más grande e influyente del mundo en tecnología profesional para empresas. Con el lema </w:t>
      </w:r>
      <w:r w:rsidR="0002479F" w:rsidRPr="0002479F">
        <w:rPr>
          <w:rStyle w:val="Strong"/>
          <w:b w:val="0"/>
          <w:lang w:val="es-MX"/>
        </w:rPr>
        <w:t>"Soluciones personalizadas, crecimiento optimizado"</w:t>
      </w:r>
      <w:r w:rsidR="0002479F" w:rsidRPr="0002479F">
        <w:rPr>
          <w:lang w:val="es-MX"/>
        </w:rPr>
        <w:t>, LG demostró cómo sus innovaciones están revolucionando sectores clave como la hospitalidad, el comercio minorista, la educación y la señalización digital, impulsando la eficiencia operativa y la rentabilidad de las empresas.</w:t>
      </w:r>
    </w:p>
    <w:p w14:paraId="557C23CA" w14:textId="092D08D1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 xml:space="preserve">México se ha consolidado como un actor fundamental en la industria hotelera y de señalización digital, sectores donde LG es líder indiscutible. Con más de </w:t>
      </w:r>
      <w:r w:rsidRPr="0002479F">
        <w:rPr>
          <w:rStyle w:val="Strong"/>
          <w:b w:val="0"/>
          <w:lang w:val="es-MX"/>
        </w:rPr>
        <w:t>800,000 habitaciones de hotel en el país y un turismo que genera más del 8.5% del PIB</w:t>
      </w:r>
      <w:r w:rsidRPr="0002479F">
        <w:rPr>
          <w:lang w:val="es-MX"/>
        </w:rPr>
        <w:t>, la adopción de tecnología avanzada en hospitalidad es crucial. LG es el proveedor número uno de pantallas para hoteles en México, ofreciendo soluciones que optimizan la experiencia del huésped y mejoran la gestión operativa de los establecimientos.</w:t>
      </w:r>
    </w:p>
    <w:p w14:paraId="1675D853" w14:textId="702C424B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 xml:space="preserve">En el ámbito de la </w:t>
      </w:r>
      <w:r w:rsidRPr="0002479F">
        <w:rPr>
          <w:rStyle w:val="Strong"/>
          <w:b w:val="0"/>
          <w:lang w:val="es-MX"/>
        </w:rPr>
        <w:t>señalización digital</w:t>
      </w:r>
      <w:r w:rsidRPr="0002479F">
        <w:rPr>
          <w:lang w:val="es-MX"/>
        </w:rPr>
        <w:t xml:space="preserve">, LG es una pieza clave en los principales recintos del país, incluyendo aeropuertos, estadios y </w:t>
      </w:r>
      <w:r>
        <w:rPr>
          <w:lang w:val="es-MX"/>
        </w:rPr>
        <w:t>recintos culturales y de entretenimiento</w:t>
      </w:r>
      <w:r w:rsidRPr="0002479F">
        <w:rPr>
          <w:lang w:val="es-MX"/>
        </w:rPr>
        <w:t xml:space="preserve">. Con una creciente demanda de </w:t>
      </w:r>
      <w:proofErr w:type="gramStart"/>
      <w:r w:rsidRPr="0002479F">
        <w:rPr>
          <w:lang w:val="es-MX"/>
        </w:rPr>
        <w:t>pantallas</w:t>
      </w:r>
      <w:proofErr w:type="gramEnd"/>
      <w:r w:rsidRPr="0002479F">
        <w:rPr>
          <w:lang w:val="es-MX"/>
        </w:rPr>
        <w:t xml:space="preserve"> LED y OLED en espacios públicos, la tecnología de LG garantiza calidad de imagen superior, durabilidad y facilidad de administración remota, permitiendo a empresas y organismos gubernamentales optimizar su comunicación visual.</w:t>
      </w:r>
    </w:p>
    <w:p w14:paraId="41F896C2" w14:textId="6CF819A0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 xml:space="preserve">Uno de los avances más destacados en el portafolio de LG es la integración de </w:t>
      </w:r>
      <w:r w:rsidRPr="0002479F">
        <w:rPr>
          <w:rStyle w:val="Strong"/>
          <w:b w:val="0"/>
          <w:lang w:val="es-MX"/>
        </w:rPr>
        <w:t xml:space="preserve">Google </w:t>
      </w:r>
      <w:proofErr w:type="spellStart"/>
      <w:r w:rsidRPr="0002479F">
        <w:rPr>
          <w:rStyle w:val="Strong"/>
          <w:b w:val="0"/>
          <w:lang w:val="es-MX"/>
        </w:rPr>
        <w:t>Cast</w:t>
      </w:r>
      <w:proofErr w:type="spellEnd"/>
      <w:r w:rsidRPr="0002479F">
        <w:rPr>
          <w:lang w:val="es-MX"/>
        </w:rPr>
        <w:t xml:space="preserve"> en sus televisores diseñados para la hospitalidad. Esta solución ofrece una forma completamente segura y sin interrupciones para que los huéspedes transmitan su contenido personal directamente en la pantalla del televisor de su habitación sin necesidad de iniciar sesión en aplicaciones. A diferencia de otras soluciones, </w:t>
      </w:r>
      <w:r w:rsidRPr="0002479F">
        <w:rPr>
          <w:rStyle w:val="Strong"/>
          <w:b w:val="0"/>
          <w:lang w:val="es-MX"/>
        </w:rPr>
        <w:t xml:space="preserve">Google </w:t>
      </w:r>
      <w:proofErr w:type="spellStart"/>
      <w:r w:rsidRPr="0002479F">
        <w:rPr>
          <w:rStyle w:val="Strong"/>
          <w:b w:val="0"/>
          <w:lang w:val="es-MX"/>
        </w:rPr>
        <w:t>Cast</w:t>
      </w:r>
      <w:proofErr w:type="spellEnd"/>
      <w:r w:rsidRPr="0002479F">
        <w:rPr>
          <w:rStyle w:val="Strong"/>
          <w:b w:val="0"/>
          <w:lang w:val="es-MX"/>
        </w:rPr>
        <w:t xml:space="preserve"> garantiza una experiencia fluida y privada, ya que la conexión se elimina automáticamente al momento del </w:t>
      </w:r>
      <w:proofErr w:type="spellStart"/>
      <w:r w:rsidRPr="0002479F">
        <w:rPr>
          <w:rStyle w:val="Strong"/>
          <w:b w:val="0"/>
          <w:lang w:val="es-MX"/>
        </w:rPr>
        <w:t>check-out</w:t>
      </w:r>
      <w:proofErr w:type="spellEnd"/>
      <w:r w:rsidRPr="0002479F">
        <w:rPr>
          <w:lang w:val="es-MX"/>
        </w:rPr>
        <w:t xml:space="preserve">. Esta innovación no solo mejora la experiencia del usuario, sino que </w:t>
      </w:r>
      <w:r w:rsidRPr="0002479F">
        <w:rPr>
          <w:rStyle w:val="Strong"/>
          <w:b w:val="0"/>
          <w:lang w:val="es-MX"/>
        </w:rPr>
        <w:t>también simplifica la administración para los operadores hoteleros, eliminando la necesidad de costosos sistemas de entretenimiento internos</w:t>
      </w:r>
      <w:r w:rsidRPr="0002479F">
        <w:rPr>
          <w:lang w:val="es-MX"/>
        </w:rPr>
        <w:t xml:space="preserve"> y reduciendo significativamente las incidencias técnicas.</w:t>
      </w:r>
    </w:p>
    <w:p w14:paraId="78BC6990" w14:textId="08ACBDD2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>La señalización digital se ha convertido en un pilar estratégico para los negocios</w:t>
      </w:r>
      <w:r>
        <w:rPr>
          <w:lang w:val="es-MX"/>
        </w:rPr>
        <w:t xml:space="preserve"> en el </w:t>
      </w:r>
      <w:proofErr w:type="spellStart"/>
      <w:r>
        <w:rPr>
          <w:lang w:val="es-MX"/>
        </w:rPr>
        <w:t>retail</w:t>
      </w:r>
      <w:proofErr w:type="spellEnd"/>
      <w:r w:rsidRPr="0002479F">
        <w:rPr>
          <w:lang w:val="es-MX"/>
        </w:rPr>
        <w:t xml:space="preserve">, y LG llevó esta tecnología al siguiente nivel con su </w:t>
      </w:r>
      <w:r w:rsidRPr="0002479F">
        <w:rPr>
          <w:rStyle w:val="Strong"/>
          <w:b w:val="0"/>
          <w:lang w:val="es-MX"/>
        </w:rPr>
        <w:t xml:space="preserve">pantalla </w:t>
      </w:r>
      <w:proofErr w:type="spellStart"/>
      <w:r w:rsidRPr="0002479F">
        <w:rPr>
          <w:rStyle w:val="Strong"/>
          <w:b w:val="0"/>
          <w:lang w:val="es-MX"/>
        </w:rPr>
        <w:t>Kinetic</w:t>
      </w:r>
      <w:proofErr w:type="spellEnd"/>
      <w:r w:rsidRPr="0002479F">
        <w:rPr>
          <w:rStyle w:val="Strong"/>
          <w:b w:val="0"/>
          <w:lang w:val="es-MX"/>
        </w:rPr>
        <w:t xml:space="preserve"> LED impulsada por inteligencia artificial</w:t>
      </w:r>
      <w:r w:rsidRPr="0002479F">
        <w:rPr>
          <w:lang w:val="es-MX"/>
        </w:rPr>
        <w:t xml:space="preserve">. Esta innovadora solución ofreció imágenes en movimiento dinámico, permitiendo a las marcas crear experiencias interactivas e </w:t>
      </w:r>
      <w:proofErr w:type="spellStart"/>
      <w:r w:rsidRPr="0002479F">
        <w:rPr>
          <w:lang w:val="es-MX"/>
        </w:rPr>
        <w:t>inmersivas</w:t>
      </w:r>
      <w:proofErr w:type="spellEnd"/>
      <w:r w:rsidRPr="0002479F">
        <w:rPr>
          <w:lang w:val="es-MX"/>
        </w:rPr>
        <w:t xml:space="preserve"> para captar la atención del público. En el sector minorista, LG también presentó quioscos modulares de fácil instalación y señalización digital con certificación de seguridad contra incendios, mejorando la eficiencia operativa y la seguridad en espacios comerciales.</w:t>
      </w:r>
    </w:p>
    <w:p w14:paraId="6F2AB863" w14:textId="65FAE147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 xml:space="preserve">La transformación digital en el ámbito educativo y empresarial avanzó con la nueva línea </w:t>
      </w:r>
      <w:r w:rsidRPr="0002479F">
        <w:rPr>
          <w:rStyle w:val="Strong"/>
          <w:b w:val="0"/>
          <w:lang w:val="es-MX"/>
        </w:rPr>
        <w:t xml:space="preserve">LG </w:t>
      </w:r>
      <w:proofErr w:type="spellStart"/>
      <w:r w:rsidRPr="0002479F">
        <w:rPr>
          <w:rStyle w:val="Strong"/>
          <w:b w:val="0"/>
          <w:lang w:val="es-MX"/>
        </w:rPr>
        <w:t>CreateBoard</w:t>
      </w:r>
      <w:proofErr w:type="spellEnd"/>
      <w:r w:rsidRPr="0002479F">
        <w:rPr>
          <w:lang w:val="es-MX"/>
        </w:rPr>
        <w:t xml:space="preserve">, que introdujo modelos optimizados para mejorar la colaboración y la enseñanza. Con funciones avanzadas de interactividad y conectividad, estas soluciones permitieron a instituciones y empresas maximizar el </w:t>
      </w:r>
      <w:proofErr w:type="spellStart"/>
      <w:r w:rsidRPr="0002479F">
        <w:rPr>
          <w:lang w:val="es-MX"/>
        </w:rPr>
        <w:t>engagement</w:t>
      </w:r>
      <w:proofErr w:type="spellEnd"/>
      <w:r w:rsidRPr="0002479F">
        <w:rPr>
          <w:lang w:val="es-MX"/>
        </w:rPr>
        <w:t xml:space="preserve"> y la productividad en entornos híbridos de aprendizaje y trabajo.</w:t>
      </w:r>
    </w:p>
    <w:p w14:paraId="54F0B090" w14:textId="64A13F47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lastRenderedPageBreak/>
        <w:t xml:space="preserve">Para aplicaciones en exteriores, LG desarrolló la tecnología </w:t>
      </w:r>
      <w:r w:rsidRPr="0002479F">
        <w:rPr>
          <w:rStyle w:val="Strong"/>
          <w:b w:val="0"/>
          <w:lang w:val="es-MX"/>
        </w:rPr>
        <w:t>Anti-</w:t>
      </w:r>
      <w:proofErr w:type="spellStart"/>
      <w:r w:rsidRPr="0002479F">
        <w:rPr>
          <w:rStyle w:val="Strong"/>
          <w:b w:val="0"/>
          <w:lang w:val="es-MX"/>
        </w:rPr>
        <w:t>Discoloration</w:t>
      </w:r>
      <w:proofErr w:type="spellEnd"/>
      <w:r w:rsidRPr="0002479F">
        <w:rPr>
          <w:rStyle w:val="Strong"/>
          <w:b w:val="0"/>
          <w:lang w:val="es-MX"/>
        </w:rPr>
        <w:t>™</w:t>
      </w:r>
      <w:r w:rsidRPr="0002479F">
        <w:rPr>
          <w:lang w:val="es-MX"/>
        </w:rPr>
        <w:t>, que protege las pantallas de la decoloración causada por la exposición solar. Esto aseguró una calidad de imagen duradera y un bajo costo de mantenimiento, proporcionando una solución confiable para publicidad digital en exteriores y señalización informativa.</w:t>
      </w:r>
    </w:p>
    <w:p w14:paraId="30B2753B" w14:textId="19056282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 xml:space="preserve">La conectividad y la gestión remota son esenciales en la era digital, y LG respondió a esta necesidad con </w:t>
      </w:r>
      <w:r w:rsidRPr="0002479F">
        <w:rPr>
          <w:rStyle w:val="Strong"/>
          <w:b w:val="0"/>
          <w:lang w:val="es-MX"/>
        </w:rPr>
        <w:t>LG Business Cloud</w:t>
      </w:r>
      <w:r w:rsidRPr="0002479F">
        <w:rPr>
          <w:lang w:val="es-MX"/>
        </w:rPr>
        <w:t>, una plataforma integral que permite a las empresas administrar sus pantallas de manera centralizada. Desde la optimización de contenidos hasta el monitoreo del estado de los dispositivos, esta solución simplifica las operaciones y mejora la eficiencia de los negocios.</w:t>
      </w:r>
    </w:p>
    <w:p w14:paraId="49482802" w14:textId="7EA0D549" w:rsidR="0002479F" w:rsidRPr="0002479F" w:rsidRDefault="0002479F" w:rsidP="0002479F">
      <w:pPr>
        <w:pStyle w:val="NormalWeb"/>
        <w:jc w:val="both"/>
        <w:rPr>
          <w:lang w:val="es-MX"/>
        </w:rPr>
      </w:pPr>
      <w:bookmarkStart w:id="0" w:name="_GoBack"/>
      <w:bookmarkEnd w:id="0"/>
      <w:r w:rsidRPr="0002479F">
        <w:rPr>
          <w:lang w:val="es-MX"/>
        </w:rPr>
        <w:t xml:space="preserve">LG fortaleció su ecosistema de soluciones con la colaboración de socios tecnológicos clave como </w:t>
      </w:r>
      <w:proofErr w:type="spellStart"/>
      <w:r w:rsidRPr="0002479F">
        <w:rPr>
          <w:rStyle w:val="Strong"/>
          <w:b w:val="0"/>
          <w:lang w:val="es-MX"/>
        </w:rPr>
        <w:t>Triplet</w:t>
      </w:r>
      <w:proofErr w:type="spellEnd"/>
      <w:r w:rsidRPr="0002479F">
        <w:rPr>
          <w:rStyle w:val="Strong"/>
          <w:b w:val="0"/>
          <w:lang w:val="es-MX"/>
        </w:rPr>
        <w:t xml:space="preserve">, Kokomo, </w:t>
      </w:r>
      <w:proofErr w:type="spellStart"/>
      <w:r w:rsidRPr="0002479F">
        <w:rPr>
          <w:rStyle w:val="Strong"/>
          <w:b w:val="0"/>
          <w:lang w:val="es-MX"/>
        </w:rPr>
        <w:t>Megapixel</w:t>
      </w:r>
      <w:proofErr w:type="spellEnd"/>
      <w:r w:rsidRPr="0002479F">
        <w:rPr>
          <w:rStyle w:val="Strong"/>
          <w:b w:val="0"/>
          <w:lang w:val="es-MX"/>
        </w:rPr>
        <w:t xml:space="preserve"> VR</w:t>
      </w:r>
      <w:r w:rsidRPr="0002479F">
        <w:rPr>
          <w:lang w:val="es-MX"/>
        </w:rPr>
        <w:t>, entre otros, integrando hardware y software de última generación para brindar soluciones completas a empresas de todo el mundo.</w:t>
      </w:r>
    </w:p>
    <w:p w14:paraId="7033AAD1" w14:textId="77777777" w:rsidR="0002479F" w:rsidRPr="0002479F" w:rsidRDefault="0002479F" w:rsidP="0002479F">
      <w:pPr>
        <w:pStyle w:val="NormalWeb"/>
        <w:jc w:val="both"/>
        <w:rPr>
          <w:lang w:val="es-MX"/>
        </w:rPr>
      </w:pPr>
      <w:r w:rsidRPr="0002479F">
        <w:rPr>
          <w:lang w:val="es-MX"/>
        </w:rPr>
        <w:t>Con estas innovaciones, LG demostró su compromiso con la evolución de la tecnología B2B, ofreciendo soluciones que no solo elevan la experiencia visual, sino que también impulsan la competitividad y el crecimiento de las empresas en un mercado en constante transformación. ISE 2025 fue el escenario ideal para mostrar cómo LG está redefiniendo el futuro de la tecnología aplicada a los negocios.</w:t>
      </w:r>
    </w:p>
    <w:p w14:paraId="7BA688F7" w14:textId="65E09EA8" w:rsidR="23F2282F" w:rsidRDefault="23F2282F" w:rsidP="0002479F">
      <w:pPr>
        <w:pStyle w:val="NormalWeb"/>
      </w:pPr>
      <w:r w:rsidRPr="3ABD8ACA">
        <w:t>#  #  #</w:t>
      </w:r>
    </w:p>
    <w:p w14:paraId="532B7FEB" w14:textId="6B75E731" w:rsidR="23F2282F" w:rsidRDefault="23F2282F" w:rsidP="3ABD8ACA">
      <w:pPr>
        <w:jc w:val="both"/>
        <w:rPr>
          <w:rFonts w:ascii="Times New Roman" w:eastAsia="Times New Roman" w:hAnsi="Times New Roman" w:cs="Times New Roman"/>
          <w:color w:val="C00000"/>
          <w:sz w:val="18"/>
          <w:szCs w:val="18"/>
        </w:rPr>
      </w:pPr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Acerca de LG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Electronics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Media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Entertainment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</w:t>
      </w:r>
      <w:proofErr w:type="spellStart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Solution</w:t>
      </w:r>
      <w:proofErr w:type="spellEnd"/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Company</w:t>
      </w:r>
    </w:p>
    <w:p w14:paraId="622D8D6D" w14:textId="42E5FAE8" w:rsidR="23F2282F" w:rsidRDefault="23F2282F" w:rsidP="3ABD8ACA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LG Media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Entertainment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Solution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Company (MS) es una empresa reconocida por su innovación en televisores, audio, pantallas y plataformas de Smart TV. MS Company mejora la experiencia de entretenimiento multimedia con sus televisores OLED, reconocidos por su negro perfecto y color perfecto, y sus televisores LCD QNED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premium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, todos impulsados por la plataforma de Smart TV </w:t>
      </w:r>
      <w:proofErr w:type="spellStart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webOS</w:t>
      </w:r>
      <w:proofErr w:type="spellEnd"/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personalizada. MS Company también ofrece soluciones de tecnología de la información (monitores para juegos, monitores para empresas, computadoras portátiles, proyectores, dispositivos en la nube y pantallas médicas), así como soluciones de señalización (señalización Micro LED, señalización digital, pantallas para hostelería y soluciones de software de señalización) que están diseñadas para maximizar la eficiencia laboral de los clientes y ofrecer un gran valor. Para obtener más noticias sobre LG, visite </w:t>
      </w:r>
      <w:hyperlink r:id="rId10">
        <w:r w:rsidRPr="3ABD8ACA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es-MX"/>
          </w:rPr>
          <w:t>www.LGnewsroom.com</w:t>
        </w:r>
      </w:hyperlink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.</w:t>
      </w:r>
    </w:p>
    <w:p w14:paraId="48BE7089" w14:textId="1F697F54" w:rsidR="3ABD8ACA" w:rsidRDefault="3ABD8ACA" w:rsidP="3ABD8ACA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ACD6C3E" w14:textId="1C7BECAC" w:rsidR="23F2282F" w:rsidRDefault="23F2282F" w:rsidP="3ABD8ACA">
      <w:pPr>
        <w:keepNext/>
        <w:keepLines/>
        <w:tabs>
          <w:tab w:val="left" w:pos="3969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proofErr w:type="spellStart"/>
      <w:r w:rsidRPr="3ABD8ACA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val="en-US"/>
        </w:rPr>
        <w:t>Contacto</w:t>
      </w:r>
      <w:proofErr w:type="spellEnd"/>
      <w:r w:rsidRPr="3ABD8ACA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val="en-US"/>
        </w:rPr>
        <w:t xml:space="preserve"> de </w:t>
      </w:r>
      <w:proofErr w:type="spellStart"/>
      <w:r w:rsidRPr="3ABD8ACA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val="en-US"/>
        </w:rPr>
        <w:t>prensa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3"/>
        <w:gridCol w:w="3053"/>
        <w:gridCol w:w="3053"/>
      </w:tblGrid>
      <w:tr w:rsidR="3ABD8ACA" w:rsidRPr="000A551C" w14:paraId="1AACC03B" w14:textId="77777777" w:rsidTr="3ABD8ACA">
        <w:trPr>
          <w:trHeight w:val="300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327E3BAF" w14:textId="0105BB98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3ABD8A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s-MX"/>
              </w:rPr>
              <w:t>Electronics</w:t>
            </w:r>
            <w:proofErr w:type="spellEnd"/>
            <w:r w:rsidRPr="3ABD8A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 México </w:t>
            </w: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   </w:t>
            </w:r>
          </w:p>
          <w:p w14:paraId="770C8B41" w14:textId="68B3AA9C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Daniel Aguilar Gallego     </w:t>
            </w:r>
          </w:p>
          <w:p w14:paraId="136FD59C" w14:textId="38A5D5BC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Media &amp; PR      </w:t>
            </w:r>
          </w:p>
          <w:p w14:paraId="7D092F76" w14:textId="726738B7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Tel.  555321-1977           </w:t>
            </w:r>
          </w:p>
          <w:p w14:paraId="0FB0D9C8" w14:textId="55E4F569" w:rsidR="3ABD8ACA" w:rsidRDefault="0002479F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1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s-MX"/>
                </w:rPr>
                <w:t>daniel.aguilar@lge.com</w:t>
              </w:r>
            </w:hyperlink>
            <w:r w:rsidR="3ABD8ACA"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   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63CD689A" w14:textId="695B3CCD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3ABD8A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MX"/>
              </w:rPr>
              <w:t>Burson</w:t>
            </w:r>
            <w:proofErr w:type="spellEnd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</w:t>
            </w:r>
          </w:p>
          <w:p w14:paraId="392A7BC0" w14:textId="1DBD97AD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Ana Muñoz</w:t>
            </w:r>
          </w:p>
          <w:p w14:paraId="4325E674" w14:textId="0F414418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Account</w:t>
            </w:r>
            <w:proofErr w:type="spellEnd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Executive</w:t>
            </w:r>
            <w:proofErr w:type="spellEnd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  </w:t>
            </w:r>
          </w:p>
          <w:p w14:paraId="2EBE3E0D" w14:textId="592B7E2D" w:rsidR="3ABD8ACA" w:rsidRDefault="0002479F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hyperlink r:id="rId12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s-MX"/>
                </w:rPr>
                <w:t>ana.munoz@bcw-global.com</w:t>
              </w:r>
            </w:hyperlink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6C7AC98C" w14:textId="5DEC5052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3ABD8A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Burson</w:t>
            </w:r>
            <w:proofErr w:type="spellEnd"/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 </w:t>
            </w:r>
          </w:p>
          <w:p w14:paraId="5386555A" w14:textId="1B111D61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José M. Saavedra</w:t>
            </w:r>
          </w:p>
          <w:p w14:paraId="0400C806" w14:textId="3EF866C4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Account Executive    </w:t>
            </w:r>
          </w:p>
          <w:p w14:paraId="3921F9CD" w14:textId="41D22F92" w:rsidR="3ABD8ACA" w:rsidRPr="00141350" w:rsidRDefault="0002479F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hyperlink r:id="rId13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n-US"/>
                </w:rPr>
                <w:t>jose.saavedra@bcw-global.com</w:t>
              </w:r>
            </w:hyperlink>
          </w:p>
        </w:tc>
      </w:tr>
    </w:tbl>
    <w:p w14:paraId="02E490D8" w14:textId="77CACDB7" w:rsidR="3ABD8ACA" w:rsidRPr="00141350" w:rsidRDefault="3ABD8ACA" w:rsidP="3ABD8ACA">
      <w:pPr>
        <w:keepNext/>
        <w:keepLines/>
        <w:tabs>
          <w:tab w:val="left" w:pos="3969"/>
        </w:tabs>
        <w:spacing w:after="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</w:p>
    <w:p w14:paraId="293E1B9D" w14:textId="5EB18EDC" w:rsidR="3ABD8ACA" w:rsidRPr="00141350" w:rsidRDefault="3ABD8ACA" w:rsidP="3ABD8AC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2F29B713" w14:textId="7EC7AD58" w:rsidR="3ABD8ACA" w:rsidRPr="00141350" w:rsidRDefault="3ABD8ACA" w:rsidP="3ABD8ACA">
      <w:pPr>
        <w:shd w:val="clear" w:color="auto" w:fill="FFFFFF" w:themeFill="background1"/>
        <w:spacing w:after="210"/>
        <w:jc w:val="both"/>
        <w:rPr>
          <w:rFonts w:ascii="Aptos" w:eastAsia="Aptos" w:hAnsi="Aptos" w:cs="Aptos"/>
          <w:lang w:val="en-US"/>
        </w:rPr>
      </w:pPr>
    </w:p>
    <w:sectPr w:rsidR="3ABD8ACA" w:rsidRPr="00141350">
      <w:headerReference w:type="default" r:id="rId14"/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ADF5D" w14:textId="77777777" w:rsidR="005628D1" w:rsidRDefault="005628D1">
      <w:pPr>
        <w:spacing w:after="0" w:line="240" w:lineRule="auto"/>
      </w:pPr>
      <w:r>
        <w:separator/>
      </w:r>
    </w:p>
  </w:endnote>
  <w:endnote w:type="continuationSeparator" w:id="0">
    <w:p w14:paraId="2F274C45" w14:textId="77777777" w:rsidR="005628D1" w:rsidRDefault="005628D1">
      <w:pPr>
        <w:spacing w:after="0" w:line="240" w:lineRule="auto"/>
      </w:pPr>
      <w:r>
        <w:continuationSeparator/>
      </w:r>
    </w:p>
  </w:endnote>
  <w:endnote w:type="continuationNotice" w:id="1">
    <w:p w14:paraId="1C90E18C" w14:textId="77777777" w:rsidR="005628D1" w:rsidRDefault="005628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BD8ACA" w14:paraId="7D7DBC0D" w14:textId="77777777" w:rsidTr="3ABD8ACA">
      <w:trPr>
        <w:trHeight w:val="300"/>
      </w:trPr>
      <w:tc>
        <w:tcPr>
          <w:tcW w:w="3005" w:type="dxa"/>
        </w:tcPr>
        <w:p w14:paraId="325DFEF0" w14:textId="56474F33" w:rsidR="3ABD8ACA" w:rsidRDefault="3ABD8ACA" w:rsidP="3ABD8ACA">
          <w:pPr>
            <w:pStyle w:val="Header"/>
            <w:ind w:left="-115"/>
          </w:pPr>
        </w:p>
      </w:tc>
      <w:tc>
        <w:tcPr>
          <w:tcW w:w="3005" w:type="dxa"/>
        </w:tcPr>
        <w:p w14:paraId="372B5848" w14:textId="7F8BDF1B" w:rsidR="3ABD8ACA" w:rsidRDefault="3ABD8ACA" w:rsidP="3ABD8ACA">
          <w:pPr>
            <w:pStyle w:val="Header"/>
            <w:jc w:val="center"/>
          </w:pPr>
        </w:p>
      </w:tc>
      <w:tc>
        <w:tcPr>
          <w:tcW w:w="3005" w:type="dxa"/>
        </w:tcPr>
        <w:p w14:paraId="7F61A3E6" w14:textId="4D72AE83" w:rsidR="3ABD8ACA" w:rsidRDefault="3ABD8ACA" w:rsidP="3ABD8ACA">
          <w:pPr>
            <w:pStyle w:val="Header"/>
            <w:ind w:right="-115"/>
            <w:jc w:val="right"/>
          </w:pPr>
        </w:p>
      </w:tc>
    </w:tr>
  </w:tbl>
  <w:p w14:paraId="224B4533" w14:textId="1D592793" w:rsidR="3ABD8ACA" w:rsidRDefault="3ABD8ACA" w:rsidP="3ABD8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A5E95" w14:textId="77777777" w:rsidR="005628D1" w:rsidRDefault="005628D1">
      <w:pPr>
        <w:spacing w:after="0" w:line="240" w:lineRule="auto"/>
      </w:pPr>
      <w:r>
        <w:separator/>
      </w:r>
    </w:p>
  </w:footnote>
  <w:footnote w:type="continuationSeparator" w:id="0">
    <w:p w14:paraId="1AF459A9" w14:textId="77777777" w:rsidR="005628D1" w:rsidRDefault="005628D1">
      <w:pPr>
        <w:spacing w:after="0" w:line="240" w:lineRule="auto"/>
      </w:pPr>
      <w:r>
        <w:continuationSeparator/>
      </w:r>
    </w:p>
  </w:footnote>
  <w:footnote w:type="continuationNotice" w:id="1">
    <w:p w14:paraId="13770B6E" w14:textId="77777777" w:rsidR="005628D1" w:rsidRDefault="005628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BD8ACA" w14:paraId="157D15F5" w14:textId="77777777" w:rsidTr="3ABD8ACA">
      <w:trPr>
        <w:trHeight w:val="300"/>
      </w:trPr>
      <w:tc>
        <w:tcPr>
          <w:tcW w:w="3005" w:type="dxa"/>
        </w:tcPr>
        <w:p w14:paraId="061E2AE1" w14:textId="1EB422A0" w:rsidR="3ABD8ACA" w:rsidRDefault="3ABD8ACA" w:rsidP="3ABD8ACA">
          <w:pPr>
            <w:ind w:left="-115"/>
          </w:pPr>
          <w:r>
            <w:rPr>
              <w:noProof/>
              <w:lang w:val="en-US" w:eastAsia="ko-KR"/>
            </w:rPr>
            <w:drawing>
              <wp:inline distT="0" distB="0" distL="0" distR="0" wp14:anchorId="44182D00" wp14:editId="05784A42">
                <wp:extent cx="581025" cy="314325"/>
                <wp:effectExtent l="0" t="0" r="0" b="0"/>
                <wp:docPr id="557247400" name="Picture 557247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21F2B7A8" w14:textId="64A69414" w:rsidR="3ABD8ACA" w:rsidRDefault="3ABD8ACA" w:rsidP="3ABD8ACA">
          <w:pPr>
            <w:pStyle w:val="Header"/>
            <w:jc w:val="center"/>
          </w:pPr>
        </w:p>
      </w:tc>
      <w:tc>
        <w:tcPr>
          <w:tcW w:w="3005" w:type="dxa"/>
        </w:tcPr>
        <w:p w14:paraId="73A18F15" w14:textId="01BA4876" w:rsidR="3ABD8ACA" w:rsidRDefault="3ABD8ACA" w:rsidP="3ABD8ACA">
          <w:pPr>
            <w:ind w:right="-115"/>
            <w:jc w:val="right"/>
          </w:pPr>
          <w:r>
            <w:rPr>
              <w:noProof/>
              <w:lang w:val="en-US" w:eastAsia="ko-KR"/>
            </w:rPr>
            <w:drawing>
              <wp:inline distT="0" distB="0" distL="0" distR="0" wp14:anchorId="3089266E" wp14:editId="5F605BEA">
                <wp:extent cx="952500" cy="161925"/>
                <wp:effectExtent l="0" t="0" r="0" b="0"/>
                <wp:docPr id="366141672" name="Picture 3661416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61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1D4EF0" w14:textId="43504BD6" w:rsidR="3ABD8ACA" w:rsidRDefault="3ABD8ACA" w:rsidP="3ABD8A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BF404"/>
    <w:multiLevelType w:val="hybridMultilevel"/>
    <w:tmpl w:val="C08412FE"/>
    <w:lvl w:ilvl="0" w:tplc="FF004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481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FCC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CF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021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81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C9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2B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66E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77499A"/>
    <w:rsid w:val="0002479F"/>
    <w:rsid w:val="000A551C"/>
    <w:rsid w:val="00141350"/>
    <w:rsid w:val="00215F78"/>
    <w:rsid w:val="002752E1"/>
    <w:rsid w:val="00365A8C"/>
    <w:rsid w:val="003F35D5"/>
    <w:rsid w:val="00402170"/>
    <w:rsid w:val="00422611"/>
    <w:rsid w:val="004B49BC"/>
    <w:rsid w:val="005628D1"/>
    <w:rsid w:val="005C61FE"/>
    <w:rsid w:val="007063A0"/>
    <w:rsid w:val="00853773"/>
    <w:rsid w:val="0086565A"/>
    <w:rsid w:val="00961F42"/>
    <w:rsid w:val="00997107"/>
    <w:rsid w:val="009D78BF"/>
    <w:rsid w:val="009E6E0B"/>
    <w:rsid w:val="00AD0C5D"/>
    <w:rsid w:val="00AD341B"/>
    <w:rsid w:val="00B56E88"/>
    <w:rsid w:val="00CD2028"/>
    <w:rsid w:val="00D83CFC"/>
    <w:rsid w:val="00E13C27"/>
    <w:rsid w:val="00EC3A30"/>
    <w:rsid w:val="00F2177C"/>
    <w:rsid w:val="00F568F5"/>
    <w:rsid w:val="00FC6DD5"/>
    <w:rsid w:val="08AA0D27"/>
    <w:rsid w:val="0EFA3D61"/>
    <w:rsid w:val="155E400C"/>
    <w:rsid w:val="17E76866"/>
    <w:rsid w:val="1A413ED3"/>
    <w:rsid w:val="23F2282F"/>
    <w:rsid w:val="29AD8E21"/>
    <w:rsid w:val="2B724ABE"/>
    <w:rsid w:val="3ABD8ACA"/>
    <w:rsid w:val="3FBA5797"/>
    <w:rsid w:val="4C7613EB"/>
    <w:rsid w:val="4C9C434A"/>
    <w:rsid w:val="4F352E9D"/>
    <w:rsid w:val="5A7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7499A"/>
  <w15:chartTrackingRefBased/>
  <w15:docId w15:val="{4AA1B485-4408-4912-A362-EFBC4F10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8AA0D27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3ABD8AC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3ABD8ACA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A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ko-KR"/>
    </w:rPr>
  </w:style>
  <w:style w:type="character" w:styleId="Strong">
    <w:name w:val="Strong"/>
    <w:basedOn w:val="DefaultParagraphFont"/>
    <w:uiPriority w:val="22"/>
    <w:qFormat/>
    <w:rsid w:val="000A5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ose.saavedra@bcw-globa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a.munoz@bcw-globa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iel.aguilar@l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lgnewsroom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48" ma:contentTypeDescription="Create a new document." ma:contentTypeScope="" ma:versionID="135a0442a36205cdeebb268454d13638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 xsi:nil="true"/>
  </documentManagement>
</p:properties>
</file>

<file path=customXml/itemProps1.xml><?xml version="1.0" encoding="utf-8"?>
<ds:datastoreItem xmlns:ds="http://schemas.openxmlformats.org/officeDocument/2006/customXml" ds:itemID="{5364505B-3B80-4763-BE9A-9D6D305EB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D9A38-4479-408D-8415-E513B9098A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D9E85-FFF5-4589-A211-0029C21890F9}">
  <ds:schemaRefs>
    <ds:schemaRef ds:uri="http://purl.org/dc/elements/1.1/"/>
    <ds:schemaRef ds:uri="2ee390b9-3d14-4aae-8ccb-729b8de059d6"/>
    <ds:schemaRef ds:uri="615ced4e-a718-4b63-a01e-3863bf450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56fb7ab-2206-429c-923a-3da7320dc9ae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Maria Saavedra Chimal</dc:creator>
  <cp:keywords/>
  <dc:description/>
  <cp:lastModifiedBy>DANIEL NICOLAS AGUILAR/Team Leader/LGEMS CORP COMM.HEAD(daniel.aguilar@lge.com)</cp:lastModifiedBy>
  <cp:revision>2</cp:revision>
  <dcterms:created xsi:type="dcterms:W3CDTF">2025-02-13T18:28:00Z</dcterms:created>
  <dcterms:modified xsi:type="dcterms:W3CDTF">2025-02-13T18:28:00Z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</Properties>
</file>